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3020"/>
        <w:gridCol w:w="1511"/>
        <w:gridCol w:w="1511"/>
        <w:gridCol w:w="3020"/>
      </w:tblGrid>
      <w:tr w:rsidR="00E90480" w14:paraId="3431CE55" w14:textId="77777777" w:rsidTr="0025732F">
        <w:tc>
          <w:tcPr>
            <w:tcW w:w="4531" w:type="dxa"/>
            <w:gridSpan w:val="2"/>
            <w:shd w:val="clear" w:color="auto" w:fill="D9D9D9" w:themeFill="background1" w:themeFillShade="D9"/>
          </w:tcPr>
          <w:p w14:paraId="05A38A91" w14:textId="77777777" w:rsidR="00E90480" w:rsidRDefault="00E90480" w:rsidP="0025732F">
            <w:r>
              <w:t>(Modul-)Titel</w:t>
            </w:r>
          </w:p>
        </w:tc>
        <w:tc>
          <w:tcPr>
            <w:tcW w:w="4531" w:type="dxa"/>
            <w:gridSpan w:val="2"/>
            <w:shd w:val="clear" w:color="auto" w:fill="D9D9D9" w:themeFill="background1" w:themeFillShade="D9"/>
          </w:tcPr>
          <w:p w14:paraId="6E0796D1" w14:textId="77777777" w:rsidR="00E90480" w:rsidRDefault="00E90480" w:rsidP="0025732F">
            <w:r>
              <w:t>RSDS-</w:t>
            </w:r>
            <w:proofErr w:type="spellStart"/>
            <w:r>
              <w:t>Modulbez</w:t>
            </w:r>
            <w:proofErr w:type="spellEnd"/>
            <w:r>
              <w:t>.</w:t>
            </w:r>
          </w:p>
        </w:tc>
      </w:tr>
      <w:tr w:rsidR="00E90480" w14:paraId="69646AAA" w14:textId="77777777" w:rsidTr="0025732F">
        <w:tc>
          <w:tcPr>
            <w:tcW w:w="4531" w:type="dxa"/>
            <w:gridSpan w:val="2"/>
          </w:tcPr>
          <w:p w14:paraId="75C556D6" w14:textId="766EB272" w:rsidR="00E90480" w:rsidRPr="00E90480" w:rsidRDefault="00E90480" w:rsidP="0025732F">
            <w:pPr>
              <w:pStyle w:val="berschrift1"/>
              <w:rPr>
                <w:lang w:val="en-US"/>
              </w:rPr>
            </w:pPr>
            <w:r w:rsidRPr="00E90480">
              <w:rPr>
                <w:lang w:val="en-US"/>
              </w:rPr>
              <w:t xml:space="preserve">Data </w:t>
            </w:r>
            <w:r>
              <w:rPr>
                <w:lang w:val="en-US"/>
              </w:rPr>
              <w:t xml:space="preserve">Science </w:t>
            </w:r>
            <w:proofErr w:type="spellStart"/>
            <w:r>
              <w:rPr>
                <w:lang w:val="en-US"/>
              </w:rPr>
              <w:t>mit</w:t>
            </w:r>
            <w:proofErr w:type="spellEnd"/>
            <w:r>
              <w:rPr>
                <w:lang w:val="en-US"/>
              </w:rPr>
              <w:t xml:space="preserve"> R</w:t>
            </w:r>
          </w:p>
          <w:p w14:paraId="2EA14648" w14:textId="77777777" w:rsidR="00E90480" w:rsidRPr="00E90480" w:rsidRDefault="00E90480" w:rsidP="0025732F">
            <w:pPr>
              <w:rPr>
                <w:lang w:val="en-US"/>
              </w:rPr>
            </w:pPr>
          </w:p>
          <w:p w14:paraId="7C11F944" w14:textId="77777777" w:rsidR="00E90480" w:rsidRPr="00E90480" w:rsidRDefault="00E90480" w:rsidP="0025732F">
            <w:pPr>
              <w:rPr>
                <w:lang w:val="en-US"/>
              </w:rPr>
            </w:pPr>
            <w:r w:rsidRPr="00B37D45">
              <w:rPr>
                <w:lang w:val="en-GB"/>
              </w:rPr>
              <w:t>(Applied Data Science with R)</w:t>
            </w:r>
          </w:p>
          <w:p w14:paraId="58949FFC" w14:textId="77777777" w:rsidR="00E90480" w:rsidRPr="00E90480" w:rsidRDefault="00E90480" w:rsidP="0025732F">
            <w:pPr>
              <w:rPr>
                <w:lang w:val="en-US"/>
              </w:rPr>
            </w:pPr>
          </w:p>
        </w:tc>
        <w:tc>
          <w:tcPr>
            <w:tcW w:w="4531" w:type="dxa"/>
            <w:gridSpan w:val="2"/>
          </w:tcPr>
          <w:p w14:paraId="58CA712B" w14:textId="77777777" w:rsidR="00E90480" w:rsidRPr="00B37D45" w:rsidRDefault="00E90480" w:rsidP="0025732F">
            <w:r w:rsidRPr="00E90480">
              <w:rPr>
                <w:lang w:val="en-US"/>
              </w:rPr>
              <w:br/>
            </w:r>
            <w:r w:rsidRPr="00B37D45">
              <w:t>RSDS_ADR</w:t>
            </w:r>
          </w:p>
        </w:tc>
      </w:tr>
      <w:tr w:rsidR="00E90480" w14:paraId="5CF1472D" w14:textId="77777777" w:rsidTr="0025732F">
        <w:tc>
          <w:tcPr>
            <w:tcW w:w="4531" w:type="dxa"/>
            <w:gridSpan w:val="2"/>
            <w:shd w:val="clear" w:color="auto" w:fill="D9D9D9" w:themeFill="background1" w:themeFillShade="D9"/>
          </w:tcPr>
          <w:p w14:paraId="4C5CF91D" w14:textId="77777777" w:rsidR="00E90480" w:rsidRPr="00B37D45" w:rsidRDefault="00E90480" w:rsidP="0025732F">
            <w:r w:rsidRPr="00B37D45">
              <w:t>(Modul-)Verantwortliche/r</w:t>
            </w:r>
          </w:p>
        </w:tc>
        <w:tc>
          <w:tcPr>
            <w:tcW w:w="4531" w:type="dxa"/>
            <w:gridSpan w:val="2"/>
            <w:shd w:val="clear" w:color="auto" w:fill="D9D9D9" w:themeFill="background1" w:themeFillShade="D9"/>
          </w:tcPr>
          <w:p w14:paraId="25CDA2F5" w14:textId="77777777" w:rsidR="00E90480" w:rsidRPr="00B37D45" w:rsidRDefault="00E90480" w:rsidP="0025732F">
            <w:r w:rsidRPr="00B37D45">
              <w:t>Fakultät</w:t>
            </w:r>
          </w:p>
        </w:tc>
      </w:tr>
      <w:tr w:rsidR="00E90480" w14:paraId="0BFE1783" w14:textId="77777777" w:rsidTr="0025732F">
        <w:tc>
          <w:tcPr>
            <w:tcW w:w="4531" w:type="dxa"/>
            <w:gridSpan w:val="2"/>
          </w:tcPr>
          <w:p w14:paraId="2F446FB3" w14:textId="77777777" w:rsidR="00E90480" w:rsidRPr="00B37D45" w:rsidRDefault="00E90480" w:rsidP="0025732F"/>
          <w:p w14:paraId="6F7E0482" w14:textId="77777777" w:rsidR="00E90480" w:rsidRPr="00B37D45" w:rsidRDefault="00E90480" w:rsidP="0025732F">
            <w:r w:rsidRPr="00B37D45">
              <w:t xml:space="preserve">Prof. Dr. </w:t>
            </w:r>
            <w:proofErr w:type="spellStart"/>
            <w:r w:rsidRPr="00B37D45">
              <w:t>Hößl</w:t>
            </w:r>
            <w:proofErr w:type="spellEnd"/>
          </w:p>
          <w:p w14:paraId="507FF14D" w14:textId="77777777" w:rsidR="00E90480" w:rsidRPr="00B37D45" w:rsidRDefault="00E90480" w:rsidP="0025732F"/>
        </w:tc>
        <w:tc>
          <w:tcPr>
            <w:tcW w:w="4531" w:type="dxa"/>
            <w:gridSpan w:val="2"/>
          </w:tcPr>
          <w:p w14:paraId="5758FD66" w14:textId="77777777" w:rsidR="00E90480" w:rsidRPr="00B37D45" w:rsidRDefault="00E90480" w:rsidP="0025732F">
            <w:r w:rsidRPr="00B37D45">
              <w:br/>
              <w:t>BW</w:t>
            </w:r>
          </w:p>
        </w:tc>
      </w:tr>
      <w:tr w:rsidR="00E90480" w14:paraId="1461EE81" w14:textId="77777777" w:rsidTr="0025732F">
        <w:tc>
          <w:tcPr>
            <w:tcW w:w="4531" w:type="dxa"/>
            <w:gridSpan w:val="2"/>
            <w:shd w:val="clear" w:color="auto" w:fill="D9D9D9" w:themeFill="background1" w:themeFillShade="D9"/>
          </w:tcPr>
          <w:p w14:paraId="2DD8ADD2" w14:textId="77777777" w:rsidR="00E90480" w:rsidRPr="00B37D45" w:rsidRDefault="00E90480" w:rsidP="0025732F">
            <w:r w:rsidRPr="00B37D45">
              <w:t>Lehrende/r / Dozierende/r</w:t>
            </w:r>
          </w:p>
        </w:tc>
        <w:tc>
          <w:tcPr>
            <w:tcW w:w="4531" w:type="dxa"/>
            <w:gridSpan w:val="2"/>
            <w:shd w:val="clear" w:color="auto" w:fill="D9D9D9" w:themeFill="background1" w:themeFillShade="D9"/>
          </w:tcPr>
          <w:p w14:paraId="6C9111BA" w14:textId="77777777" w:rsidR="00E90480" w:rsidRPr="00B37D45" w:rsidRDefault="00E90480" w:rsidP="0025732F">
            <w:r w:rsidRPr="00B37D45">
              <w:t>Angebotsfrequenz</w:t>
            </w:r>
          </w:p>
        </w:tc>
      </w:tr>
      <w:tr w:rsidR="00E90480" w14:paraId="77567179" w14:textId="77777777" w:rsidTr="0025732F">
        <w:tc>
          <w:tcPr>
            <w:tcW w:w="4531" w:type="dxa"/>
            <w:gridSpan w:val="2"/>
          </w:tcPr>
          <w:p w14:paraId="0C078DED" w14:textId="77777777" w:rsidR="00E90480" w:rsidRPr="00B37D45" w:rsidRDefault="00E90480" w:rsidP="0025732F"/>
          <w:p w14:paraId="18DC8661" w14:textId="77777777" w:rsidR="00E90480" w:rsidRPr="00B37D45" w:rsidRDefault="00E90480" w:rsidP="0025732F">
            <w:r w:rsidRPr="00B37D45">
              <w:t xml:space="preserve">Prof. Dr. </w:t>
            </w:r>
            <w:proofErr w:type="spellStart"/>
            <w:r w:rsidRPr="00B37D45">
              <w:t>Hößl</w:t>
            </w:r>
            <w:proofErr w:type="spellEnd"/>
          </w:p>
          <w:p w14:paraId="5F1C0370" w14:textId="77777777" w:rsidR="00E90480" w:rsidRPr="00B37D45" w:rsidRDefault="00E90480" w:rsidP="0025732F"/>
        </w:tc>
        <w:tc>
          <w:tcPr>
            <w:tcW w:w="4531" w:type="dxa"/>
            <w:gridSpan w:val="2"/>
          </w:tcPr>
          <w:p w14:paraId="50BCD579" w14:textId="77777777" w:rsidR="00E90480" w:rsidRPr="00B37D45" w:rsidRDefault="00E90480" w:rsidP="0025732F">
            <w:r w:rsidRPr="00B37D45">
              <w:t>Wechselnder Fächerkatalog, die Veröffentlichung der im jeweiligen Semester angebotenen Module erfolgt online.</w:t>
            </w:r>
          </w:p>
        </w:tc>
      </w:tr>
      <w:tr w:rsidR="00E90480" w14:paraId="3DC6E38C" w14:textId="77777777" w:rsidTr="0025732F">
        <w:tc>
          <w:tcPr>
            <w:tcW w:w="4531" w:type="dxa"/>
            <w:gridSpan w:val="2"/>
            <w:shd w:val="clear" w:color="auto" w:fill="D9D9D9" w:themeFill="background1" w:themeFillShade="D9"/>
          </w:tcPr>
          <w:p w14:paraId="4A4C2C16" w14:textId="77777777" w:rsidR="00E90480" w:rsidRPr="00B37D45" w:rsidRDefault="00E90480" w:rsidP="0025732F">
            <w:r w:rsidRPr="00B37D45">
              <w:t>Lehrform</w:t>
            </w:r>
          </w:p>
        </w:tc>
        <w:tc>
          <w:tcPr>
            <w:tcW w:w="4531" w:type="dxa"/>
            <w:gridSpan w:val="2"/>
            <w:shd w:val="clear" w:color="auto" w:fill="D9D9D9" w:themeFill="background1" w:themeFillShade="D9"/>
          </w:tcPr>
          <w:p w14:paraId="67442EDE" w14:textId="77777777" w:rsidR="00E90480" w:rsidRPr="00B37D45" w:rsidRDefault="00E90480" w:rsidP="0025732F">
            <w:r w:rsidRPr="00B37D45">
              <w:t>Unterrichtssprache</w:t>
            </w:r>
          </w:p>
        </w:tc>
      </w:tr>
      <w:tr w:rsidR="00E90480" w14:paraId="14BB00ED" w14:textId="77777777" w:rsidTr="0025732F">
        <w:tc>
          <w:tcPr>
            <w:tcW w:w="4531" w:type="dxa"/>
            <w:gridSpan w:val="2"/>
          </w:tcPr>
          <w:p w14:paraId="12145717" w14:textId="77777777" w:rsidR="00E90480" w:rsidRPr="00B37D45" w:rsidRDefault="00E90480" w:rsidP="0025732F"/>
          <w:p w14:paraId="315DD00B" w14:textId="77777777" w:rsidR="00E90480" w:rsidRPr="00B37D45" w:rsidRDefault="00E90480" w:rsidP="0025732F">
            <w:r w:rsidRPr="00B37D45">
              <w:t>Seminaristischer Unterricht</w:t>
            </w:r>
          </w:p>
          <w:p w14:paraId="770302CB" w14:textId="77777777" w:rsidR="00E90480" w:rsidRPr="00B37D45" w:rsidRDefault="00E90480" w:rsidP="0025732F"/>
        </w:tc>
        <w:tc>
          <w:tcPr>
            <w:tcW w:w="4531" w:type="dxa"/>
            <w:gridSpan w:val="2"/>
          </w:tcPr>
          <w:p w14:paraId="498F2CEB" w14:textId="77777777" w:rsidR="00E90480" w:rsidRPr="00B37D45" w:rsidRDefault="00E90480" w:rsidP="0025732F">
            <w:r w:rsidRPr="00B37D45">
              <w:br/>
              <w:t>Deutsch</w:t>
            </w:r>
          </w:p>
        </w:tc>
      </w:tr>
      <w:tr w:rsidR="00E90480" w14:paraId="2EC54C67" w14:textId="77777777" w:rsidTr="0025732F">
        <w:tc>
          <w:tcPr>
            <w:tcW w:w="4531" w:type="dxa"/>
            <w:gridSpan w:val="2"/>
            <w:shd w:val="clear" w:color="auto" w:fill="D0CECE" w:themeFill="background2" w:themeFillShade="E6"/>
          </w:tcPr>
          <w:p w14:paraId="651F377F" w14:textId="77777777" w:rsidR="00E90480" w:rsidRPr="00B37D45" w:rsidRDefault="00E90480" w:rsidP="0025732F">
            <w:r w:rsidRPr="00B37D45">
              <w:t>Art der Prüfung</w:t>
            </w:r>
          </w:p>
        </w:tc>
        <w:tc>
          <w:tcPr>
            <w:tcW w:w="4531" w:type="dxa"/>
            <w:gridSpan w:val="2"/>
            <w:shd w:val="clear" w:color="auto" w:fill="D0CECE" w:themeFill="background2" w:themeFillShade="E6"/>
          </w:tcPr>
          <w:p w14:paraId="79A0F433" w14:textId="77777777" w:rsidR="00E90480" w:rsidRPr="00B37D45" w:rsidRDefault="00E90480" w:rsidP="0025732F">
            <w:r w:rsidRPr="00B37D45">
              <w:t>Voraussetzungen</w:t>
            </w:r>
          </w:p>
        </w:tc>
      </w:tr>
      <w:tr w:rsidR="00E90480" w14:paraId="71512572" w14:textId="77777777" w:rsidTr="0025732F">
        <w:trPr>
          <w:trHeight w:val="569"/>
        </w:trPr>
        <w:tc>
          <w:tcPr>
            <w:tcW w:w="4531" w:type="dxa"/>
            <w:gridSpan w:val="2"/>
          </w:tcPr>
          <w:p w14:paraId="6210D944" w14:textId="77777777" w:rsidR="00E90480" w:rsidRPr="00B37D45" w:rsidRDefault="00E90480" w:rsidP="0025732F">
            <w:pPr>
              <w:rPr>
                <w:kern w:val="16"/>
              </w:rPr>
            </w:pPr>
            <w:r w:rsidRPr="00B37D45">
              <w:t>Empirische Projektarbeit</w:t>
            </w:r>
            <w:r w:rsidRPr="00B37D45">
              <w:rPr>
                <w:kern w:val="16"/>
              </w:rPr>
              <w:t xml:space="preserve"> </w:t>
            </w:r>
          </w:p>
          <w:p w14:paraId="3B6BFB57" w14:textId="77777777" w:rsidR="00E90480" w:rsidRPr="00B37D45" w:rsidRDefault="00E90480" w:rsidP="0025732F">
            <w:r w:rsidRPr="00B37D45">
              <w:t>Kurzpräsentation der zu untersuchenden Forschungsfrage ist Zulassungsvoraussetzung zur Projektarbeit</w:t>
            </w:r>
          </w:p>
        </w:tc>
        <w:tc>
          <w:tcPr>
            <w:tcW w:w="4531" w:type="dxa"/>
            <w:gridSpan w:val="2"/>
          </w:tcPr>
          <w:p w14:paraId="38961930" w14:textId="77777777" w:rsidR="00E90480" w:rsidRPr="00B37D45" w:rsidRDefault="00E90480" w:rsidP="0025732F">
            <w:r w:rsidRPr="00B37D45">
              <w:t>Grundkenntnisse statistischer Verfahren hilfreich</w:t>
            </w:r>
          </w:p>
        </w:tc>
      </w:tr>
      <w:tr w:rsidR="00E90480" w14:paraId="538CB003" w14:textId="77777777" w:rsidTr="0025732F">
        <w:tc>
          <w:tcPr>
            <w:tcW w:w="3020" w:type="dxa"/>
            <w:shd w:val="clear" w:color="auto" w:fill="D9D9D9" w:themeFill="background1" w:themeFillShade="D9"/>
          </w:tcPr>
          <w:p w14:paraId="51166C8A" w14:textId="77777777" w:rsidR="00E90480" w:rsidRPr="00B37D45" w:rsidRDefault="00E90480" w:rsidP="0025732F">
            <w:r w:rsidRPr="00B37D45">
              <w:t>Teilnehmerzahl</w:t>
            </w:r>
          </w:p>
        </w:tc>
        <w:tc>
          <w:tcPr>
            <w:tcW w:w="3022" w:type="dxa"/>
            <w:gridSpan w:val="2"/>
            <w:shd w:val="clear" w:color="auto" w:fill="D9D9D9" w:themeFill="background1" w:themeFillShade="D9"/>
          </w:tcPr>
          <w:p w14:paraId="644EDA26" w14:textId="77777777" w:rsidR="00E90480" w:rsidRPr="00B37D45" w:rsidRDefault="00E90480" w:rsidP="0025732F">
            <w:r w:rsidRPr="00B37D45">
              <w:t>Modultyp</w:t>
            </w:r>
          </w:p>
        </w:tc>
        <w:tc>
          <w:tcPr>
            <w:tcW w:w="3020" w:type="dxa"/>
            <w:shd w:val="clear" w:color="auto" w:fill="D9D9D9" w:themeFill="background1" w:themeFillShade="D9"/>
          </w:tcPr>
          <w:p w14:paraId="4013D2D9" w14:textId="77777777" w:rsidR="00E90480" w:rsidRPr="00B37D45" w:rsidRDefault="00E90480" w:rsidP="0025732F">
            <w:r w:rsidRPr="00B37D45">
              <w:t>Arbeitsaufwand (evtl. SWS und ECTS)</w:t>
            </w:r>
          </w:p>
        </w:tc>
      </w:tr>
      <w:tr w:rsidR="00E90480" w14:paraId="3A8760F9" w14:textId="77777777" w:rsidTr="0025732F">
        <w:trPr>
          <w:trHeight w:val="680"/>
        </w:trPr>
        <w:tc>
          <w:tcPr>
            <w:tcW w:w="3020" w:type="dxa"/>
          </w:tcPr>
          <w:p w14:paraId="5749537B" w14:textId="77777777" w:rsidR="00E90480" w:rsidRPr="00B37D45" w:rsidRDefault="00E90480" w:rsidP="0025732F"/>
          <w:p w14:paraId="33148135" w14:textId="77777777" w:rsidR="00E90480" w:rsidRDefault="00E90480" w:rsidP="0025732F">
            <w:r w:rsidRPr="00B37D45">
              <w:t>10 BW</w:t>
            </w:r>
          </w:p>
          <w:p w14:paraId="34AD9AD5" w14:textId="77777777" w:rsidR="00E90480" w:rsidRPr="00B37D45" w:rsidRDefault="00E90480" w:rsidP="0025732F">
            <w:r>
              <w:t>7</w:t>
            </w:r>
            <w:r w:rsidRPr="00B37D45">
              <w:t xml:space="preserve"> weitere Interessierte</w:t>
            </w:r>
          </w:p>
          <w:p w14:paraId="0319A949" w14:textId="77777777" w:rsidR="00E90480" w:rsidRPr="00B37D45" w:rsidRDefault="00E90480" w:rsidP="0025732F"/>
        </w:tc>
        <w:tc>
          <w:tcPr>
            <w:tcW w:w="3022" w:type="dxa"/>
            <w:gridSpan w:val="2"/>
          </w:tcPr>
          <w:p w14:paraId="0A800913" w14:textId="77777777" w:rsidR="00E90480" w:rsidRPr="00B37D45" w:rsidRDefault="00E90480" w:rsidP="0025732F">
            <w:r w:rsidRPr="00B37D45">
              <w:br/>
              <w:t>WPF (BW)</w:t>
            </w:r>
            <w:r w:rsidRPr="00B37D45">
              <w:br/>
              <w:t>FW</w:t>
            </w:r>
          </w:p>
        </w:tc>
        <w:tc>
          <w:tcPr>
            <w:tcW w:w="3020" w:type="dxa"/>
          </w:tcPr>
          <w:p w14:paraId="6CE8D02E" w14:textId="77777777" w:rsidR="00E90480" w:rsidRPr="00B37D45" w:rsidRDefault="00E90480" w:rsidP="0025732F">
            <w:r w:rsidRPr="00B37D45">
              <w:br/>
              <w:t>4 SWS / 5 ECTS</w:t>
            </w:r>
          </w:p>
        </w:tc>
      </w:tr>
      <w:tr w:rsidR="00E90480" w14:paraId="3950B6DE" w14:textId="77777777" w:rsidTr="0025732F">
        <w:tc>
          <w:tcPr>
            <w:tcW w:w="3020" w:type="dxa"/>
            <w:shd w:val="clear" w:color="auto" w:fill="D9D9D9" w:themeFill="background1" w:themeFillShade="D9"/>
          </w:tcPr>
          <w:p w14:paraId="76A00D24" w14:textId="77777777" w:rsidR="00E90480" w:rsidRPr="00B37D45" w:rsidRDefault="00E90480" w:rsidP="0025732F">
            <w:r w:rsidRPr="00B37D45">
              <w:t xml:space="preserve">Zielfakultäten/ -studiengänge: </w:t>
            </w:r>
          </w:p>
        </w:tc>
        <w:tc>
          <w:tcPr>
            <w:tcW w:w="3022" w:type="dxa"/>
            <w:gridSpan w:val="2"/>
            <w:shd w:val="clear" w:color="auto" w:fill="D9D9D9" w:themeFill="background1" w:themeFillShade="D9"/>
          </w:tcPr>
          <w:p w14:paraId="7525125D" w14:textId="77777777" w:rsidR="00E90480" w:rsidRPr="00B37D45" w:rsidRDefault="00E90480" w:rsidP="0025732F">
            <w:r w:rsidRPr="00B37D45">
              <w:t xml:space="preserve">Für Bachelor </w:t>
            </w:r>
          </w:p>
        </w:tc>
        <w:tc>
          <w:tcPr>
            <w:tcW w:w="3020" w:type="dxa"/>
            <w:shd w:val="clear" w:color="auto" w:fill="D9D9D9" w:themeFill="background1" w:themeFillShade="D9"/>
          </w:tcPr>
          <w:p w14:paraId="2A3E7664" w14:textId="77777777" w:rsidR="00E90480" w:rsidRPr="00B37D45" w:rsidRDefault="00E90480" w:rsidP="0025732F">
            <w:r w:rsidRPr="00B37D45">
              <w:t>Für Master</w:t>
            </w:r>
          </w:p>
        </w:tc>
      </w:tr>
      <w:tr w:rsidR="00E90480" w14:paraId="6A25D4ED" w14:textId="77777777" w:rsidTr="0025732F">
        <w:tc>
          <w:tcPr>
            <w:tcW w:w="3020" w:type="dxa"/>
          </w:tcPr>
          <w:p w14:paraId="688422A3" w14:textId="77777777" w:rsidR="00E90480" w:rsidRPr="00B37D45" w:rsidRDefault="00E90480" w:rsidP="0025732F"/>
          <w:p w14:paraId="3031A5B3" w14:textId="77777777" w:rsidR="00E90480" w:rsidRPr="00B37D45" w:rsidRDefault="00E90480" w:rsidP="0025732F">
            <w:r w:rsidRPr="00B37D45">
              <w:t xml:space="preserve">Geöffnet für folgende Fakultäten: </w:t>
            </w:r>
            <w:r w:rsidRPr="00B37D45">
              <w:br/>
              <w:t>A, ANK, B, EI, IM, M, S (</w:t>
            </w:r>
            <w:r>
              <w:t>7</w:t>
            </w:r>
            <w:r w:rsidRPr="00B37D45">
              <w:t>)</w:t>
            </w:r>
          </w:p>
          <w:p w14:paraId="7BAE9FBC" w14:textId="77777777" w:rsidR="00E90480" w:rsidRPr="00B37D45" w:rsidRDefault="00E90480" w:rsidP="0025732F"/>
        </w:tc>
        <w:tc>
          <w:tcPr>
            <w:tcW w:w="3022" w:type="dxa"/>
            <w:gridSpan w:val="2"/>
          </w:tcPr>
          <w:p w14:paraId="7532FC16" w14:textId="77777777" w:rsidR="00E90480" w:rsidRPr="00B37D45" w:rsidRDefault="00E90480" w:rsidP="0025732F">
            <w:r w:rsidRPr="00B37D45">
              <w:t>Studienabschnitt</w:t>
            </w:r>
            <w:r w:rsidRPr="00B37D45">
              <w:br/>
              <w:t>ab 2. Studienabschnitt</w:t>
            </w:r>
          </w:p>
          <w:p w14:paraId="3FFDBD85" w14:textId="77777777" w:rsidR="00E90480" w:rsidRPr="00B37D45" w:rsidRDefault="00E90480" w:rsidP="0025732F"/>
        </w:tc>
        <w:tc>
          <w:tcPr>
            <w:tcW w:w="3020" w:type="dxa"/>
          </w:tcPr>
          <w:p w14:paraId="045C75F4" w14:textId="77777777" w:rsidR="00E90480" w:rsidRPr="00B37D45" w:rsidRDefault="00E90480" w:rsidP="0025732F"/>
        </w:tc>
      </w:tr>
      <w:tr w:rsidR="00E90480" w14:paraId="1B6EBE5C" w14:textId="77777777" w:rsidTr="0025732F">
        <w:tc>
          <w:tcPr>
            <w:tcW w:w="9062" w:type="dxa"/>
            <w:gridSpan w:val="4"/>
            <w:shd w:val="clear" w:color="auto" w:fill="D9D9D9" w:themeFill="background1" w:themeFillShade="D9"/>
          </w:tcPr>
          <w:p w14:paraId="48666648" w14:textId="77777777" w:rsidR="00E90480" w:rsidRPr="00B37D45" w:rsidRDefault="00E90480" w:rsidP="0025732F">
            <w:r w:rsidRPr="00B37D45">
              <w:rPr>
                <w:shd w:val="clear" w:color="auto" w:fill="D9D9D9" w:themeFill="background1" w:themeFillShade="D9"/>
              </w:rPr>
              <w:t>Inhalt (Kurzbeschreibung)</w:t>
            </w:r>
          </w:p>
        </w:tc>
      </w:tr>
      <w:tr w:rsidR="00E90480" w14:paraId="051D4A31" w14:textId="77777777" w:rsidTr="0025732F">
        <w:trPr>
          <w:trHeight w:val="1104"/>
        </w:trPr>
        <w:tc>
          <w:tcPr>
            <w:tcW w:w="9062" w:type="dxa"/>
            <w:gridSpan w:val="4"/>
          </w:tcPr>
          <w:p w14:paraId="02899FF9" w14:textId="77777777" w:rsidR="00E90480" w:rsidRPr="00B37D45" w:rsidRDefault="00E90480" w:rsidP="0025732F"/>
          <w:p w14:paraId="74CAD10C" w14:textId="77777777" w:rsidR="00E90480" w:rsidRPr="00B37D45" w:rsidRDefault="00E90480" w:rsidP="0025732F">
            <w:r w:rsidRPr="00B37D45">
              <w:t>Die Inhalte werden – soweit möglich - im Kontext von Praxisbeispielen vermittelt.</w:t>
            </w:r>
          </w:p>
          <w:p w14:paraId="23C29F0B" w14:textId="77777777" w:rsidR="00E90480" w:rsidRPr="00B37D45" w:rsidRDefault="00E90480" w:rsidP="0025732F">
            <w:r w:rsidRPr="00B37D45">
              <w:t>Grundlagen der Empirie und Datenanalyseprozess</w:t>
            </w:r>
          </w:p>
          <w:p w14:paraId="7C5C1FC4" w14:textId="77777777" w:rsidR="00E90480" w:rsidRPr="00B37D45" w:rsidRDefault="00E90480" w:rsidP="0025732F">
            <w:r w:rsidRPr="00B37D45">
              <w:t xml:space="preserve">Einführung in R und die Paketgruppe </w:t>
            </w:r>
            <w:proofErr w:type="spellStart"/>
            <w:r w:rsidRPr="00B37D45">
              <w:t>tidyverse</w:t>
            </w:r>
            <w:proofErr w:type="spellEnd"/>
          </w:p>
          <w:p w14:paraId="753B99F0" w14:textId="77777777" w:rsidR="00E90480" w:rsidRPr="00B37D45" w:rsidRDefault="00E90480" w:rsidP="0025732F">
            <w:r w:rsidRPr="00B37D45">
              <w:t xml:space="preserve">Datenanalyseprozess mittels R und </w:t>
            </w:r>
            <w:proofErr w:type="spellStart"/>
            <w:r w:rsidRPr="00B37D45">
              <w:t>tidyverse</w:t>
            </w:r>
            <w:proofErr w:type="spellEnd"/>
          </w:p>
          <w:p w14:paraId="0A8D7012" w14:textId="77777777" w:rsidR="00E90480" w:rsidRPr="00B37D45" w:rsidRDefault="00E90480" w:rsidP="0025732F">
            <w:r w:rsidRPr="00B37D45">
              <w:t xml:space="preserve">Einsatz ausgewählter statistischer, ökonometrischer Methoden und Verfahren des </w:t>
            </w:r>
            <w:proofErr w:type="spellStart"/>
            <w:r w:rsidRPr="00B37D45">
              <w:t>Machine</w:t>
            </w:r>
            <w:proofErr w:type="spellEnd"/>
            <w:r w:rsidRPr="00B37D45">
              <w:t xml:space="preserve"> Learning</w:t>
            </w:r>
          </w:p>
          <w:p w14:paraId="6F111AF5" w14:textId="77777777" w:rsidR="00E90480" w:rsidRPr="00B37D45" w:rsidRDefault="00E90480" w:rsidP="0025732F">
            <w:r w:rsidRPr="00B37D45">
              <w:t>Darstellung von Ergebnissen mittels statischer und interaktiver Grafiken</w:t>
            </w:r>
          </w:p>
          <w:p w14:paraId="7E442096" w14:textId="77777777" w:rsidR="00E90480" w:rsidRPr="00B37D45" w:rsidRDefault="00E90480" w:rsidP="0025732F">
            <w:r w:rsidRPr="00B37D45">
              <w:t xml:space="preserve">Automatisierte Generierung von Reports mittels </w:t>
            </w:r>
            <w:proofErr w:type="spellStart"/>
            <w:r w:rsidRPr="00B37D45">
              <w:t>RMarkdow</w:t>
            </w:r>
            <w:proofErr w:type="spellEnd"/>
          </w:p>
          <w:p w14:paraId="16A316CD" w14:textId="77777777" w:rsidR="00E90480" w:rsidRPr="00B37D45" w:rsidRDefault="00E90480" w:rsidP="0025732F"/>
          <w:p w14:paraId="09AE7724" w14:textId="77777777" w:rsidR="00E90480" w:rsidRPr="00B37D45" w:rsidRDefault="00E90480" w:rsidP="0025732F"/>
        </w:tc>
      </w:tr>
      <w:tr w:rsidR="00E90480" w14:paraId="451B4908" w14:textId="77777777" w:rsidTr="0025732F">
        <w:trPr>
          <w:trHeight w:val="306"/>
        </w:trPr>
        <w:tc>
          <w:tcPr>
            <w:tcW w:w="9062" w:type="dxa"/>
            <w:gridSpan w:val="4"/>
            <w:shd w:val="clear" w:color="auto" w:fill="D9D9D9" w:themeFill="background1" w:themeFillShade="D9"/>
          </w:tcPr>
          <w:p w14:paraId="4FB3F06C" w14:textId="77777777" w:rsidR="00E90480" w:rsidRPr="00B37D45" w:rsidRDefault="00E90480" w:rsidP="0025732F">
            <w:r w:rsidRPr="00B37D45">
              <w:t>L</w:t>
            </w:r>
            <w:r w:rsidRPr="00B37D45">
              <w:rPr>
                <w:shd w:val="clear" w:color="auto" w:fill="D9D9D9" w:themeFill="background1" w:themeFillShade="D9"/>
              </w:rPr>
              <w:t>ernziel</w:t>
            </w:r>
          </w:p>
        </w:tc>
      </w:tr>
      <w:tr w:rsidR="00E90480" w14:paraId="39B0178A" w14:textId="77777777" w:rsidTr="0025732F">
        <w:trPr>
          <w:trHeight w:val="1104"/>
        </w:trPr>
        <w:tc>
          <w:tcPr>
            <w:tcW w:w="9062" w:type="dxa"/>
            <w:gridSpan w:val="4"/>
          </w:tcPr>
          <w:p w14:paraId="42CDA407" w14:textId="77777777" w:rsidR="00E90480" w:rsidRPr="00B37D45" w:rsidRDefault="00E90480" w:rsidP="0025732F">
            <w:pPr>
              <w:rPr>
                <w:b/>
                <w:kern w:val="16"/>
              </w:rPr>
            </w:pPr>
            <w:r w:rsidRPr="00B37D45">
              <w:rPr>
                <w:b/>
                <w:kern w:val="16"/>
              </w:rPr>
              <w:lastRenderedPageBreak/>
              <w:t>Qualifikationsziele</w:t>
            </w:r>
          </w:p>
          <w:p w14:paraId="661A7E80" w14:textId="77777777" w:rsidR="00E90480" w:rsidRPr="00B37D45" w:rsidRDefault="00E90480" w:rsidP="0025732F">
            <w:pPr>
              <w:rPr>
                <w:noProof/>
                <w:kern w:val="16"/>
              </w:rPr>
            </w:pPr>
            <w:r w:rsidRPr="00B37D45">
              <w:rPr>
                <w:noProof/>
                <w:kern w:val="16"/>
              </w:rPr>
              <w:t>Die nachfolgenden Qualifikationsziele werden in verschiedene Dimensionen unterteilt. Jede Dimension entspricht dabei einer angestrebten Kompetenzstufe. Folgende Kompetenzstufen werden unterteilt:</w:t>
            </w:r>
          </w:p>
          <w:p w14:paraId="2173EC2A" w14:textId="77777777" w:rsidR="00E90480" w:rsidRPr="00B37D45" w:rsidRDefault="00E90480" w:rsidP="0025732F">
            <w:pPr>
              <w:rPr>
                <w:noProof/>
                <w:kern w:val="16"/>
              </w:rPr>
            </w:pPr>
            <w:r w:rsidRPr="00B37D45">
              <w:rPr>
                <w:noProof/>
                <w:kern w:val="16"/>
              </w:rPr>
              <w:t>Niveaustufe 1 (Kennen): oberflächliches Verstehen einfacher Strukturen bzw. Abfrage erworbenen Wissens</w:t>
            </w:r>
          </w:p>
          <w:p w14:paraId="7737BDCD" w14:textId="77777777" w:rsidR="00E90480" w:rsidRPr="00B37D45" w:rsidRDefault="00E90480" w:rsidP="0025732F">
            <w:pPr>
              <w:rPr>
                <w:noProof/>
                <w:kern w:val="16"/>
              </w:rPr>
            </w:pPr>
            <w:r w:rsidRPr="00B37D45">
              <w:rPr>
                <w:noProof/>
                <w:kern w:val="16"/>
              </w:rPr>
              <w:t>Niveaustufe 2 (Können): oberflächliches Verstehen mehrerer Strukturen bis zu tieferem Verständnis von Beziehungen zwischen Strukturen bzw. Gelerntes übertragen, zerlegen, kombinieren und einsetzen</w:t>
            </w:r>
          </w:p>
          <w:p w14:paraId="30796AAB" w14:textId="77777777" w:rsidR="00E90480" w:rsidRPr="00B37D45" w:rsidRDefault="00E90480" w:rsidP="0025732F">
            <w:pPr>
              <w:rPr>
                <w:noProof/>
                <w:kern w:val="16"/>
              </w:rPr>
            </w:pPr>
            <w:r w:rsidRPr="00B37D45">
              <w:rPr>
                <w:noProof/>
                <w:kern w:val="16"/>
              </w:rPr>
              <w:t>Niveaustufe 3 (Verstehen und Anwenden): tieferes Verständnis von Beziehungen zwischen Strukturen bis zur Abstraktion und Erweiterung auf andere Strukturen bzw. Wissen hinterfragen und/oder bewerten, Zusammenhänge und Auswirkungen erläutern</w:t>
            </w:r>
          </w:p>
          <w:p w14:paraId="3CFDEC13" w14:textId="77777777" w:rsidR="00E90480" w:rsidRPr="00B37D45" w:rsidRDefault="00E90480" w:rsidP="0025732F">
            <w:pPr>
              <w:rPr>
                <w:noProof/>
                <w:kern w:val="16"/>
              </w:rPr>
            </w:pPr>
            <w:r w:rsidRPr="00B37D45">
              <w:rPr>
                <w:noProof/>
                <w:kern w:val="16"/>
              </w:rPr>
              <w:t>Die jeweilige Dimensionszuordnung der Qualifikationsziele wird durch die Ergänzung der jeweiligen Ziffer (1,2 oder 3) in der Kompetenzbeschreibung dargestellt.</w:t>
            </w:r>
          </w:p>
          <w:p w14:paraId="74567974" w14:textId="77777777" w:rsidR="00E90480" w:rsidRPr="00B37D45" w:rsidRDefault="00E90480" w:rsidP="0025732F">
            <w:pPr>
              <w:rPr>
                <w:noProof/>
                <w:kern w:val="16"/>
              </w:rPr>
            </w:pPr>
          </w:p>
          <w:p w14:paraId="347E4E34" w14:textId="77777777" w:rsidR="00E90480" w:rsidRPr="00B37D45" w:rsidRDefault="00E90480" w:rsidP="0025732F">
            <w:pPr>
              <w:rPr>
                <w:noProof/>
                <w:kern w:val="16"/>
              </w:rPr>
            </w:pPr>
            <w:r w:rsidRPr="00B37D45">
              <w:rPr>
                <w:noProof/>
                <w:kern w:val="16"/>
              </w:rPr>
              <w:t>Im Einzelnen haben die Studierenden nach Abschluss des Moduls auf Basis wissenschaftlicher Methoden die folgenden Lernziele erreicht:</w:t>
            </w:r>
          </w:p>
          <w:p w14:paraId="6C8AEC7E" w14:textId="77777777" w:rsidR="00E90480" w:rsidRPr="00B37D45" w:rsidRDefault="00E90480" w:rsidP="0025732F">
            <w:pPr>
              <w:rPr>
                <w:noProof/>
                <w:kern w:val="16"/>
              </w:rPr>
            </w:pPr>
          </w:p>
          <w:p w14:paraId="289F822E" w14:textId="77777777" w:rsidR="00E90480" w:rsidRPr="00B37D45" w:rsidRDefault="00E90480" w:rsidP="0025732F">
            <w:pPr>
              <w:rPr>
                <w:kern w:val="16"/>
                <w:u w:val="single"/>
              </w:rPr>
            </w:pPr>
            <w:r w:rsidRPr="00B37D45">
              <w:rPr>
                <w:kern w:val="16"/>
                <w:u w:val="single"/>
              </w:rPr>
              <w:t>Fachkompetenz</w:t>
            </w:r>
          </w:p>
          <w:p w14:paraId="0A51E17A" w14:textId="77777777" w:rsidR="00E90480" w:rsidRPr="00B37D45" w:rsidRDefault="00E90480" w:rsidP="0025732F">
            <w:pPr>
              <w:rPr>
                <w:kern w:val="16"/>
              </w:rPr>
            </w:pPr>
            <w:r w:rsidRPr="00B37D45">
              <w:rPr>
                <w:kern w:val="16"/>
              </w:rPr>
              <w:t xml:space="preserve">Die Studierenden sind dazu befähigt, empirische Fragestellungen mittels geeigneter Methoden zu überprüfen (3), Schlussfolgerungen aus den Ergebnissen abzuleiten, (3) diese geeignet zu kommunizieren (2) und die Vorgehensweise kritisch zu reflektieren (3). </w:t>
            </w:r>
          </w:p>
          <w:p w14:paraId="0243B2BB" w14:textId="77777777" w:rsidR="00E90480" w:rsidRPr="00B37D45" w:rsidRDefault="00E90480" w:rsidP="0025732F">
            <w:pPr>
              <w:rPr>
                <w:kern w:val="16"/>
              </w:rPr>
            </w:pPr>
            <w:r w:rsidRPr="00B37D45">
              <w:rPr>
                <w:kern w:val="16"/>
              </w:rPr>
              <w:t xml:space="preserve">Sie kennen die einzelnen Schritte des Datenanalyseprozesses (1) und können diese für empirische Fragestellungen anhand der Analysesoftware R umsetzen (3). Sie sind sie in der Lage, Daten zu importieren, bereinigen und aufzubereiten (2), etwaige Datenprobleme zu identifizieren und diese - falls möglich - zu beheben (3). Sie kennen ausgewählte statistische/ökonometrische Verfahren sowie Methoden des </w:t>
            </w:r>
            <w:proofErr w:type="spellStart"/>
            <w:r w:rsidRPr="00B37D45">
              <w:rPr>
                <w:kern w:val="16"/>
              </w:rPr>
              <w:t>Machine</w:t>
            </w:r>
            <w:proofErr w:type="spellEnd"/>
            <w:r w:rsidRPr="00B37D45">
              <w:rPr>
                <w:kern w:val="16"/>
              </w:rPr>
              <w:t xml:space="preserve"> </w:t>
            </w:r>
            <w:proofErr w:type="spellStart"/>
            <w:r w:rsidRPr="00B37D45">
              <w:rPr>
                <w:kern w:val="16"/>
              </w:rPr>
              <w:t>Learnings</w:t>
            </w:r>
            <w:proofErr w:type="spellEnd"/>
            <w:r w:rsidRPr="00B37D45">
              <w:rPr>
                <w:kern w:val="16"/>
              </w:rPr>
              <w:t xml:space="preserve"> (1) und können diese zielgerichtet einsetzen (2). Die Ergebnisse ihrer Analysen können Sie für Dritte verständlich und nachvollziehbar aufbereiten und darstellen (2).</w:t>
            </w:r>
          </w:p>
          <w:p w14:paraId="7A2C6641" w14:textId="77777777" w:rsidR="00E90480" w:rsidRPr="00B37D45" w:rsidRDefault="00E90480" w:rsidP="0025732F">
            <w:pPr>
              <w:rPr>
                <w:kern w:val="16"/>
              </w:rPr>
            </w:pPr>
            <w:r w:rsidRPr="00B37D45">
              <w:rPr>
                <w:kern w:val="16"/>
              </w:rPr>
              <w:t xml:space="preserve">Studierende sind dazu befähigt, die vermittelten Inhalte im Rahmen von Studien-, Bachelor- und Masterarbeiten sowie bei weiteren empirischen Fragestellungen eigenständig anzuwenden (3). </w:t>
            </w:r>
          </w:p>
          <w:p w14:paraId="145BBFE8" w14:textId="77777777" w:rsidR="00E90480" w:rsidRPr="00B37D45" w:rsidRDefault="00E90480" w:rsidP="0025732F">
            <w:pPr>
              <w:rPr>
                <w:kern w:val="16"/>
              </w:rPr>
            </w:pPr>
          </w:p>
          <w:p w14:paraId="1EDDEE17" w14:textId="77777777" w:rsidR="00E90480" w:rsidRPr="00B37D45" w:rsidRDefault="00E90480" w:rsidP="0025732F">
            <w:pPr>
              <w:rPr>
                <w:kern w:val="16"/>
                <w:u w:val="single"/>
              </w:rPr>
            </w:pPr>
            <w:r w:rsidRPr="00B37D45">
              <w:rPr>
                <w:kern w:val="16"/>
                <w:u w:val="single"/>
              </w:rPr>
              <w:t>Sozialkompetenz</w:t>
            </w:r>
          </w:p>
          <w:p w14:paraId="4303B4C8" w14:textId="77777777" w:rsidR="00E90480" w:rsidRPr="00B37D45" w:rsidRDefault="00E90480" w:rsidP="0025732F">
            <w:pPr>
              <w:rPr>
                <w:kern w:val="16"/>
              </w:rPr>
            </w:pPr>
            <w:r w:rsidRPr="00B37D45">
              <w:rPr>
                <w:kern w:val="16"/>
              </w:rPr>
              <w:t>Die Studierenden sind zum Selbststudium und zum vertieften eigenen Zeitmanagement befähigt (2). Sie sind in der Lage, gemeinschaftlich Fragestellungen anzugehen und hierfür adäquate Lösungen zu erarbeiten (2).</w:t>
            </w:r>
          </w:p>
          <w:p w14:paraId="003B40FD" w14:textId="77777777" w:rsidR="00E90480" w:rsidRPr="00B37D45" w:rsidRDefault="00E90480" w:rsidP="0025732F">
            <w:pPr>
              <w:rPr>
                <w:kern w:val="16"/>
              </w:rPr>
            </w:pPr>
          </w:p>
          <w:p w14:paraId="7C38E5B3" w14:textId="77777777" w:rsidR="00E90480" w:rsidRPr="00B37D45" w:rsidRDefault="00E90480" w:rsidP="0025732F">
            <w:pPr>
              <w:rPr>
                <w:kern w:val="16"/>
                <w:u w:val="single"/>
              </w:rPr>
            </w:pPr>
            <w:r w:rsidRPr="00B37D45">
              <w:rPr>
                <w:kern w:val="16"/>
                <w:u w:val="single"/>
              </w:rPr>
              <w:t>Methodenkompetenz</w:t>
            </w:r>
          </w:p>
          <w:p w14:paraId="2DD10249" w14:textId="77777777" w:rsidR="00E90480" w:rsidRPr="00B37D45" w:rsidRDefault="00E90480" w:rsidP="0025732F">
            <w:pPr>
              <w:rPr>
                <w:kern w:val="16"/>
              </w:rPr>
            </w:pPr>
            <w:r w:rsidRPr="00B37D45">
              <w:rPr>
                <w:kern w:val="16"/>
              </w:rPr>
              <w:t>Die Studierenden sind dazu befähigt, mit den Analyseverfahren kompetent umzugehen (2) und ihre analytischen Fähigkeiten problemadäquat mittels R umzusetzen (3).</w:t>
            </w:r>
          </w:p>
          <w:p w14:paraId="46516EC7" w14:textId="77777777" w:rsidR="00E90480" w:rsidRPr="00B37D45" w:rsidRDefault="00E90480" w:rsidP="0025732F">
            <w:pPr>
              <w:rPr>
                <w:kern w:val="16"/>
              </w:rPr>
            </w:pPr>
          </w:p>
          <w:p w14:paraId="3D13B457" w14:textId="77777777" w:rsidR="00E90480" w:rsidRPr="00B37D45" w:rsidRDefault="00E90480" w:rsidP="0025732F">
            <w:pPr>
              <w:rPr>
                <w:kern w:val="16"/>
                <w:u w:val="single"/>
              </w:rPr>
            </w:pPr>
            <w:r w:rsidRPr="00B37D45">
              <w:rPr>
                <w:kern w:val="16"/>
                <w:u w:val="single"/>
              </w:rPr>
              <w:t>Persönliche Kompetenz</w:t>
            </w:r>
          </w:p>
          <w:p w14:paraId="37FA4499" w14:textId="77777777" w:rsidR="00E90480" w:rsidRPr="00B37D45" w:rsidRDefault="00E90480" w:rsidP="0025732F">
            <w:pPr>
              <w:rPr>
                <w:kern w:val="16"/>
              </w:rPr>
            </w:pPr>
            <w:r w:rsidRPr="00B37D45">
              <w:rPr>
                <w:kern w:val="16"/>
              </w:rPr>
              <w:t>Die Studierenden sind in der Lage, Probleme und Fragestellungen angemessen empirisch zu untersuchen (2). Sie kennen die mit statistischen Auswertungen verbundenen Fallstricke (1) und können die Qualität von Untersuchungen und die dabei verwendeten Verfahren kritisch beurteilen (2).</w:t>
            </w:r>
          </w:p>
          <w:p w14:paraId="17267701" w14:textId="77777777" w:rsidR="00E90480" w:rsidRPr="00B37D45" w:rsidRDefault="00E90480" w:rsidP="0025732F"/>
        </w:tc>
      </w:tr>
      <w:tr w:rsidR="00E90480" w14:paraId="61C788BF" w14:textId="77777777" w:rsidTr="0025732F">
        <w:trPr>
          <w:trHeight w:val="141"/>
        </w:trPr>
        <w:tc>
          <w:tcPr>
            <w:tcW w:w="9062" w:type="dxa"/>
            <w:gridSpan w:val="4"/>
            <w:shd w:val="clear" w:color="auto" w:fill="BFBFBF" w:themeFill="background1" w:themeFillShade="BF"/>
          </w:tcPr>
          <w:p w14:paraId="3383C91F" w14:textId="77777777" w:rsidR="00E90480" w:rsidRPr="002861B0" w:rsidRDefault="00E90480" w:rsidP="0025732F">
            <w:pPr>
              <w:rPr>
                <w:rFonts w:ascii="Lucida Sans" w:hAnsi="Lucida Sans" w:cs="Arial"/>
                <w:b/>
                <w:kern w:val="16"/>
                <w:sz w:val="20"/>
                <w:szCs w:val="20"/>
              </w:rPr>
            </w:pPr>
            <w:r w:rsidRPr="00272400">
              <w:rPr>
                <w:shd w:val="clear" w:color="auto" w:fill="D9D9D9" w:themeFill="background1" w:themeFillShade="D9"/>
              </w:rPr>
              <w:t>Zusätzliche Informationen:</w:t>
            </w:r>
            <w:r>
              <w:rPr>
                <w:rFonts w:ascii="Lucida Sans" w:hAnsi="Lucida Sans" w:cs="Arial"/>
                <w:b/>
                <w:kern w:val="16"/>
                <w:sz w:val="20"/>
                <w:szCs w:val="20"/>
              </w:rPr>
              <w:t xml:space="preserve"> </w:t>
            </w:r>
          </w:p>
        </w:tc>
      </w:tr>
      <w:tr w:rsidR="00E90480" w14:paraId="2D83286C" w14:textId="77777777" w:rsidTr="0025732F">
        <w:trPr>
          <w:trHeight w:val="1104"/>
        </w:trPr>
        <w:tc>
          <w:tcPr>
            <w:tcW w:w="9062" w:type="dxa"/>
            <w:gridSpan w:val="4"/>
          </w:tcPr>
          <w:p w14:paraId="3ED5E319" w14:textId="77777777" w:rsidR="00E90480" w:rsidRPr="00B37D45" w:rsidRDefault="00E90480" w:rsidP="0025732F">
            <w:pPr>
              <w:rPr>
                <w:rFonts w:cstheme="minorHAnsi"/>
                <w:b/>
                <w:bCs/>
                <w:kern w:val="16"/>
              </w:rPr>
            </w:pPr>
            <w:r w:rsidRPr="00B37D45">
              <w:rPr>
                <w:rFonts w:cstheme="minorHAnsi"/>
                <w:b/>
                <w:bCs/>
                <w:kern w:val="16"/>
              </w:rPr>
              <w:lastRenderedPageBreak/>
              <w:t xml:space="preserve">Besonderes: </w:t>
            </w:r>
          </w:p>
          <w:p w14:paraId="2E761C83" w14:textId="77777777" w:rsidR="00E90480" w:rsidRPr="00B37D45" w:rsidRDefault="00E90480" w:rsidP="0025732F">
            <w:pPr>
              <w:rPr>
                <w:rFonts w:cstheme="minorHAnsi"/>
                <w:kern w:val="16"/>
              </w:rPr>
            </w:pPr>
            <w:r w:rsidRPr="00B37D45">
              <w:rPr>
                <w:rFonts w:cstheme="minorHAnsi"/>
                <w:kern w:val="16"/>
              </w:rPr>
              <w:t xml:space="preserve">Teilnehmerzahl ist begrenzt auf </w:t>
            </w:r>
            <w:r w:rsidRPr="00B37D45">
              <w:rPr>
                <w:rFonts w:cstheme="minorHAnsi"/>
                <w:b/>
                <w:kern w:val="16"/>
              </w:rPr>
              <w:t>20 Studierende</w:t>
            </w:r>
            <w:r w:rsidRPr="00B37D45">
              <w:rPr>
                <w:rFonts w:cstheme="minorHAnsi"/>
                <w:kern w:val="16"/>
              </w:rPr>
              <w:t xml:space="preserve">. Davon werden bis zu </w:t>
            </w:r>
            <w:r w:rsidRPr="00B37D45">
              <w:rPr>
                <w:rFonts w:cstheme="minorHAnsi"/>
                <w:b/>
                <w:kern w:val="16"/>
              </w:rPr>
              <w:t>10 Plätze im Rahmen der RSDS</w:t>
            </w:r>
            <w:r w:rsidRPr="00B37D45">
              <w:rPr>
                <w:rFonts w:cstheme="minorHAnsi"/>
                <w:kern w:val="16"/>
              </w:rPr>
              <w:t xml:space="preserve"> für Studierende anderer Fakultäten reserviert.</w:t>
            </w:r>
          </w:p>
          <w:p w14:paraId="04308CAF" w14:textId="77777777" w:rsidR="00E90480" w:rsidRPr="00B37D45" w:rsidRDefault="00E90480" w:rsidP="0025732F">
            <w:pPr>
              <w:rPr>
                <w:rFonts w:cstheme="minorHAnsi"/>
                <w:kern w:val="16"/>
              </w:rPr>
            </w:pPr>
            <w:r w:rsidRPr="00B37D45">
              <w:rPr>
                <w:rFonts w:cstheme="minorHAnsi"/>
                <w:kern w:val="16"/>
              </w:rPr>
              <w:t xml:space="preserve">Anmeldung erforderlich. Die Details zum Anmeldeverfahren für FW-Fächer sind für BW-Studierende in </w:t>
            </w:r>
            <w:proofErr w:type="spellStart"/>
            <w:r w:rsidRPr="00B37D45">
              <w:rPr>
                <w:rFonts w:cstheme="minorHAnsi"/>
                <w:kern w:val="16"/>
              </w:rPr>
              <w:t>Moodle</w:t>
            </w:r>
            <w:proofErr w:type="spellEnd"/>
            <w:r w:rsidRPr="00B37D45">
              <w:rPr>
                <w:rFonts w:cstheme="minorHAnsi"/>
                <w:kern w:val="16"/>
              </w:rPr>
              <w:t xml:space="preserve"> bzw. für Studierende anderer Fakultäten auf der Website der RSDS abrufbar. Eine Teilnahme ohne vorherige Anmeldung ist grundsätzlich nicht möglich.</w:t>
            </w:r>
          </w:p>
          <w:p w14:paraId="5591C6CD" w14:textId="77777777" w:rsidR="00E90480" w:rsidRPr="00B37D45" w:rsidRDefault="00E90480" w:rsidP="0025732F">
            <w:pPr>
              <w:rPr>
                <w:rFonts w:cstheme="minorHAnsi"/>
                <w:kern w:val="16"/>
              </w:rPr>
            </w:pPr>
            <w:r w:rsidRPr="00B37D45">
              <w:rPr>
                <w:rFonts w:cstheme="minorHAnsi"/>
                <w:kern w:val="16"/>
              </w:rPr>
              <w:t xml:space="preserve">Es wird ein eigener Rechner benötigt, auf dem die Programme R, </w:t>
            </w:r>
            <w:proofErr w:type="spellStart"/>
            <w:r w:rsidRPr="00B37D45">
              <w:rPr>
                <w:rFonts w:cstheme="minorHAnsi"/>
                <w:kern w:val="16"/>
              </w:rPr>
              <w:t>RStudio</w:t>
            </w:r>
            <w:proofErr w:type="spellEnd"/>
            <w:r w:rsidRPr="00B37D45">
              <w:rPr>
                <w:rFonts w:cstheme="minorHAnsi"/>
                <w:kern w:val="16"/>
              </w:rPr>
              <w:t xml:space="preserve"> und </w:t>
            </w:r>
            <w:proofErr w:type="spellStart"/>
            <w:r w:rsidRPr="00B37D45">
              <w:rPr>
                <w:rFonts w:cstheme="minorHAnsi"/>
                <w:kern w:val="16"/>
              </w:rPr>
              <w:t>Rtools</w:t>
            </w:r>
            <w:proofErr w:type="spellEnd"/>
            <w:r w:rsidRPr="00B37D45">
              <w:rPr>
                <w:rFonts w:cstheme="minorHAnsi"/>
                <w:kern w:val="16"/>
              </w:rPr>
              <w:t>, sowie weitere R-Pakete, installiert sind.</w:t>
            </w:r>
          </w:p>
          <w:p w14:paraId="54848D46" w14:textId="77777777" w:rsidR="00E90480" w:rsidRPr="00B37D45" w:rsidRDefault="00E90480" w:rsidP="0025732F">
            <w:pPr>
              <w:rPr>
                <w:rFonts w:cstheme="minorHAnsi"/>
                <w:kern w:val="16"/>
              </w:rPr>
            </w:pPr>
            <w:r w:rsidRPr="00B37D45">
              <w:rPr>
                <w:rFonts w:cstheme="minorHAnsi"/>
                <w:kern w:val="16"/>
              </w:rPr>
              <w:t xml:space="preserve">Für einige Lerneinheiten wird die Lernplattform </w:t>
            </w:r>
            <w:proofErr w:type="spellStart"/>
            <w:r w:rsidRPr="00B37D45">
              <w:rPr>
                <w:rFonts w:cstheme="minorHAnsi"/>
                <w:kern w:val="16"/>
              </w:rPr>
              <w:t>DataCamp</w:t>
            </w:r>
            <w:proofErr w:type="spellEnd"/>
            <w:r w:rsidRPr="00B37D45">
              <w:rPr>
                <w:rFonts w:cstheme="minorHAnsi"/>
                <w:kern w:val="16"/>
              </w:rPr>
              <w:t xml:space="preserve"> verwendet. Um diese zu nutzen, müssen Sie sich unter Verwendung Ihrer OTH-Adresse einen Account bei </w:t>
            </w:r>
            <w:proofErr w:type="spellStart"/>
            <w:r w:rsidRPr="00B37D45">
              <w:rPr>
                <w:rFonts w:cstheme="minorHAnsi"/>
                <w:kern w:val="16"/>
              </w:rPr>
              <w:t>DataCamp</w:t>
            </w:r>
            <w:proofErr w:type="spellEnd"/>
            <w:r w:rsidRPr="00B37D45">
              <w:rPr>
                <w:rFonts w:cstheme="minorHAnsi"/>
                <w:kern w:val="16"/>
              </w:rPr>
              <w:t xml:space="preserve"> anlegen. Für die Dauer der Veranstaltung erhalten Sie kostenlosen Zugriff auf alle Inhalte und können kostenlos Kurse, </w:t>
            </w:r>
            <w:proofErr w:type="spellStart"/>
            <w:r w:rsidRPr="00B37D45">
              <w:rPr>
                <w:rFonts w:cstheme="minorHAnsi"/>
                <w:kern w:val="16"/>
              </w:rPr>
              <w:t>Skill</w:t>
            </w:r>
            <w:proofErr w:type="spellEnd"/>
            <w:r w:rsidRPr="00B37D45">
              <w:rPr>
                <w:rFonts w:cstheme="minorHAnsi"/>
                <w:kern w:val="16"/>
              </w:rPr>
              <w:t xml:space="preserve"> Tracks und Zertifizierungen anschließen.</w:t>
            </w:r>
          </w:p>
          <w:p w14:paraId="7C2C985C" w14:textId="77777777" w:rsidR="00E90480" w:rsidRPr="00B37D45" w:rsidRDefault="00E90480" w:rsidP="0025732F">
            <w:pPr>
              <w:rPr>
                <w:rFonts w:cstheme="minorHAnsi"/>
                <w:kern w:val="16"/>
              </w:rPr>
            </w:pPr>
            <w:r w:rsidRPr="00B37D45">
              <w:rPr>
                <w:rFonts w:cstheme="minorHAnsi"/>
                <w:kern w:val="16"/>
              </w:rPr>
              <w:t>Die Vorlesungszeiten sind dem Stundenplan zu entnehmen.</w:t>
            </w:r>
          </w:p>
          <w:p w14:paraId="55DDEAC5" w14:textId="77777777" w:rsidR="00E90480" w:rsidRPr="00B37D45" w:rsidRDefault="00E90480" w:rsidP="0025732F">
            <w:pPr>
              <w:rPr>
                <w:rFonts w:cstheme="minorHAnsi"/>
                <w:b/>
                <w:kern w:val="16"/>
              </w:rPr>
            </w:pPr>
          </w:p>
          <w:p w14:paraId="3D84703E" w14:textId="77777777" w:rsidR="00E90480" w:rsidRPr="00B37D45" w:rsidRDefault="00E90480" w:rsidP="0025732F">
            <w:pPr>
              <w:rPr>
                <w:rFonts w:cstheme="minorHAnsi"/>
                <w:b/>
                <w:kern w:val="16"/>
                <w:lang w:val="en-US"/>
              </w:rPr>
            </w:pPr>
            <w:proofErr w:type="spellStart"/>
            <w:r w:rsidRPr="00B37D45">
              <w:rPr>
                <w:rFonts w:cstheme="minorHAnsi"/>
                <w:b/>
                <w:kern w:val="16"/>
                <w:lang w:val="en-US"/>
              </w:rPr>
              <w:t>Literatur</w:t>
            </w:r>
            <w:proofErr w:type="spellEnd"/>
            <w:r w:rsidRPr="00B37D45">
              <w:rPr>
                <w:rFonts w:cstheme="minorHAnsi"/>
                <w:b/>
                <w:kern w:val="16"/>
                <w:lang w:val="en-US"/>
              </w:rPr>
              <w:t>:</w:t>
            </w:r>
          </w:p>
          <w:p w14:paraId="1CD2CAD9" w14:textId="77777777" w:rsidR="00E90480" w:rsidRPr="00B37D45" w:rsidRDefault="00E90480" w:rsidP="0025732F">
            <w:pPr>
              <w:rPr>
                <w:rFonts w:cstheme="minorHAnsi"/>
                <w:u w:val="single"/>
                <w:lang w:val="en-GB"/>
              </w:rPr>
            </w:pPr>
            <w:proofErr w:type="spellStart"/>
            <w:r w:rsidRPr="00B37D45">
              <w:rPr>
                <w:rFonts w:cstheme="minorHAnsi"/>
                <w:u w:val="single"/>
                <w:lang w:val="en-GB"/>
              </w:rPr>
              <w:t>Pflichtliteratur</w:t>
            </w:r>
            <w:proofErr w:type="spellEnd"/>
          </w:p>
          <w:p w14:paraId="5DBCB5E1" w14:textId="77777777" w:rsidR="00E90480" w:rsidRPr="00B37D45" w:rsidRDefault="00E90480" w:rsidP="0025732F">
            <w:pPr>
              <w:rPr>
                <w:rFonts w:cstheme="minorHAnsi"/>
                <w:lang w:val="en-GB"/>
              </w:rPr>
            </w:pPr>
            <w:r w:rsidRPr="00B37D45">
              <w:rPr>
                <w:rFonts w:cstheme="minorHAnsi"/>
                <w:lang w:val="en-GB"/>
              </w:rPr>
              <w:t>Ismay, C. / Kim, A. Y.: An Introduction to Statistical and Data Sciences with R, 2018</w:t>
            </w:r>
          </w:p>
          <w:p w14:paraId="2B9A6AC8" w14:textId="77777777" w:rsidR="00E90480" w:rsidRPr="00B37D45" w:rsidRDefault="00E90480" w:rsidP="0025732F">
            <w:pPr>
              <w:rPr>
                <w:rFonts w:cstheme="minorHAnsi"/>
                <w:lang w:val="en-GB"/>
              </w:rPr>
            </w:pPr>
            <w:r w:rsidRPr="00B37D45">
              <w:rPr>
                <w:rFonts w:cstheme="minorHAnsi"/>
                <w:lang w:val="en-GB"/>
              </w:rPr>
              <w:t xml:space="preserve">Wickham, Hadley / </w:t>
            </w:r>
            <w:proofErr w:type="spellStart"/>
            <w:r w:rsidRPr="00B37D45">
              <w:rPr>
                <w:rFonts w:cstheme="minorHAnsi"/>
                <w:lang w:val="en-GB"/>
              </w:rPr>
              <w:t>Grolemound</w:t>
            </w:r>
            <w:proofErr w:type="spellEnd"/>
            <w:r w:rsidRPr="00B37D45">
              <w:rPr>
                <w:rFonts w:cstheme="minorHAnsi"/>
                <w:lang w:val="en-GB"/>
              </w:rPr>
              <w:t xml:space="preserve">, Garret: R for Data Science, </w:t>
            </w:r>
            <w:proofErr w:type="spellStart"/>
            <w:r w:rsidRPr="00B37D45">
              <w:rPr>
                <w:rFonts w:cstheme="minorHAnsi"/>
                <w:lang w:val="en-GB"/>
              </w:rPr>
              <w:t>O’Reilley</w:t>
            </w:r>
            <w:proofErr w:type="spellEnd"/>
            <w:r w:rsidRPr="00B37D45">
              <w:rPr>
                <w:rFonts w:cstheme="minorHAnsi"/>
                <w:lang w:val="en-GB"/>
              </w:rPr>
              <w:t xml:space="preserve"> Media, 2016</w:t>
            </w:r>
          </w:p>
          <w:p w14:paraId="5DFF3FAA" w14:textId="77777777" w:rsidR="00E90480" w:rsidRPr="00B37D45" w:rsidRDefault="00E90480" w:rsidP="0025732F">
            <w:pPr>
              <w:rPr>
                <w:rFonts w:cstheme="minorHAnsi"/>
                <w:lang w:val="en-GB"/>
              </w:rPr>
            </w:pPr>
            <w:r w:rsidRPr="00B37D45">
              <w:rPr>
                <w:rFonts w:cstheme="minorHAnsi"/>
                <w:lang w:val="en-GB"/>
              </w:rPr>
              <w:t xml:space="preserve">Xie, </w:t>
            </w:r>
            <w:proofErr w:type="spellStart"/>
            <w:r w:rsidRPr="00B37D45">
              <w:rPr>
                <w:rFonts w:cstheme="minorHAnsi"/>
                <w:lang w:val="en-GB"/>
              </w:rPr>
              <w:t>Yihui</w:t>
            </w:r>
            <w:proofErr w:type="spellEnd"/>
            <w:r w:rsidRPr="00B37D45">
              <w:rPr>
                <w:rFonts w:cstheme="minorHAnsi"/>
                <w:lang w:val="en-GB"/>
              </w:rPr>
              <w:t xml:space="preserve"> / Allaire, J. J. / </w:t>
            </w:r>
            <w:proofErr w:type="spellStart"/>
            <w:r w:rsidRPr="00B37D45">
              <w:rPr>
                <w:rFonts w:cstheme="minorHAnsi"/>
                <w:lang w:val="en-GB"/>
              </w:rPr>
              <w:t>Grolemound</w:t>
            </w:r>
            <w:proofErr w:type="spellEnd"/>
            <w:r w:rsidRPr="00B37D45">
              <w:rPr>
                <w:rFonts w:cstheme="minorHAnsi"/>
                <w:lang w:val="en-GB"/>
              </w:rPr>
              <w:t>, Garret: R Markdown: The Definitive Guide, 2018</w:t>
            </w:r>
          </w:p>
          <w:p w14:paraId="243A41C3" w14:textId="77777777" w:rsidR="00E90480" w:rsidRPr="00B37D45" w:rsidRDefault="00E90480" w:rsidP="0025732F">
            <w:pPr>
              <w:rPr>
                <w:rFonts w:cstheme="minorHAnsi"/>
                <w:kern w:val="16"/>
                <w:u w:val="single"/>
                <w:lang w:val="en-GB"/>
              </w:rPr>
            </w:pPr>
            <w:proofErr w:type="spellStart"/>
            <w:r w:rsidRPr="00B37D45">
              <w:rPr>
                <w:rFonts w:cstheme="minorHAnsi"/>
                <w:u w:val="single"/>
                <w:lang w:val="en-GB"/>
              </w:rPr>
              <w:t>Zusätzlich</w:t>
            </w:r>
            <w:proofErr w:type="spellEnd"/>
            <w:r w:rsidRPr="00B37D45">
              <w:rPr>
                <w:rFonts w:cstheme="minorHAnsi"/>
                <w:u w:val="single"/>
                <w:lang w:val="en-GB"/>
              </w:rPr>
              <w:t xml:space="preserve"> </w:t>
            </w:r>
            <w:proofErr w:type="spellStart"/>
            <w:r w:rsidRPr="00B37D45">
              <w:rPr>
                <w:rFonts w:cstheme="minorHAnsi"/>
                <w:u w:val="single"/>
                <w:lang w:val="en-GB"/>
              </w:rPr>
              <w:t>empfohlene</w:t>
            </w:r>
            <w:proofErr w:type="spellEnd"/>
            <w:r w:rsidRPr="00B37D45">
              <w:rPr>
                <w:rFonts w:cstheme="minorHAnsi"/>
                <w:u w:val="single"/>
                <w:lang w:val="en-GB"/>
              </w:rPr>
              <w:t xml:space="preserve"> </w:t>
            </w:r>
            <w:proofErr w:type="spellStart"/>
            <w:r w:rsidRPr="00B37D45">
              <w:rPr>
                <w:rFonts w:cstheme="minorHAnsi"/>
                <w:u w:val="single"/>
                <w:lang w:val="en-GB"/>
              </w:rPr>
              <w:t>Literatur</w:t>
            </w:r>
            <w:proofErr w:type="spellEnd"/>
          </w:p>
          <w:p w14:paraId="69F9A9FB" w14:textId="77777777" w:rsidR="00E90480" w:rsidRPr="00B37D45" w:rsidRDefault="00E90480" w:rsidP="0025732F">
            <w:pPr>
              <w:rPr>
                <w:rFonts w:cstheme="minorHAnsi"/>
                <w:lang w:val="en-GB"/>
              </w:rPr>
            </w:pPr>
            <w:proofErr w:type="spellStart"/>
            <w:r w:rsidRPr="00B37D45">
              <w:rPr>
                <w:rFonts w:cstheme="minorHAnsi"/>
                <w:lang w:val="en-GB"/>
              </w:rPr>
              <w:t>Heuman</w:t>
            </w:r>
            <w:proofErr w:type="spellEnd"/>
            <w:r w:rsidRPr="00B37D45">
              <w:rPr>
                <w:rFonts w:cstheme="minorHAnsi"/>
                <w:lang w:val="en-GB"/>
              </w:rPr>
              <w:t xml:space="preserve">, C. / </w:t>
            </w:r>
            <w:proofErr w:type="spellStart"/>
            <w:r w:rsidRPr="00B37D45">
              <w:rPr>
                <w:rFonts w:cstheme="minorHAnsi"/>
                <w:lang w:val="en-GB"/>
              </w:rPr>
              <w:t>Shomaker</w:t>
            </w:r>
            <w:proofErr w:type="spellEnd"/>
            <w:r w:rsidRPr="00B37D45">
              <w:rPr>
                <w:rFonts w:cstheme="minorHAnsi"/>
                <w:lang w:val="en-GB"/>
              </w:rPr>
              <w:t>, S.: Introduction to Statistics and Data Analysis, Springer International Publishing, 2016</w:t>
            </w:r>
          </w:p>
          <w:p w14:paraId="29FB01B7" w14:textId="77777777" w:rsidR="00E90480" w:rsidRPr="00B37D45" w:rsidRDefault="00E90480" w:rsidP="0025732F">
            <w:pPr>
              <w:rPr>
                <w:rFonts w:cstheme="minorHAnsi"/>
                <w:lang w:val="en-GB"/>
              </w:rPr>
            </w:pPr>
            <w:r w:rsidRPr="00B37D45">
              <w:rPr>
                <w:rFonts w:cstheme="minorHAnsi"/>
                <w:lang w:val="en-GB"/>
              </w:rPr>
              <w:t xml:space="preserve">Kleiber, C. / </w:t>
            </w:r>
            <w:proofErr w:type="spellStart"/>
            <w:r w:rsidRPr="00B37D45">
              <w:rPr>
                <w:rFonts w:cstheme="minorHAnsi"/>
                <w:lang w:val="en-GB"/>
              </w:rPr>
              <w:t>Zeileis</w:t>
            </w:r>
            <w:proofErr w:type="spellEnd"/>
            <w:r w:rsidRPr="00B37D45">
              <w:rPr>
                <w:rFonts w:cstheme="minorHAnsi"/>
                <w:lang w:val="en-GB"/>
              </w:rPr>
              <w:t>, A.: Applied Econometrics with R, Springer Science and Business Media, 2008</w:t>
            </w:r>
          </w:p>
          <w:p w14:paraId="1D7D82CE" w14:textId="77777777" w:rsidR="00E90480" w:rsidRPr="00B37D45" w:rsidRDefault="00E90480" w:rsidP="0025732F">
            <w:pPr>
              <w:rPr>
                <w:rFonts w:cstheme="minorHAnsi"/>
                <w:lang w:val="en-GB"/>
              </w:rPr>
            </w:pPr>
            <w:proofErr w:type="spellStart"/>
            <w:r w:rsidRPr="00B37D45">
              <w:rPr>
                <w:rFonts w:cstheme="minorHAnsi"/>
              </w:rPr>
              <w:t>Schlittgen</w:t>
            </w:r>
            <w:proofErr w:type="spellEnd"/>
            <w:r w:rsidRPr="00B37D45">
              <w:rPr>
                <w:rFonts w:cstheme="minorHAnsi"/>
              </w:rPr>
              <w:t xml:space="preserve">, R.: Angewandte Zeitreihenanalyse mit R, 3. </w:t>
            </w:r>
            <w:proofErr w:type="spellStart"/>
            <w:r w:rsidRPr="00B37D45">
              <w:rPr>
                <w:rFonts w:cstheme="minorHAnsi"/>
                <w:lang w:val="en-GB"/>
              </w:rPr>
              <w:t>Auflage</w:t>
            </w:r>
            <w:proofErr w:type="spellEnd"/>
            <w:r w:rsidRPr="00B37D45">
              <w:rPr>
                <w:rFonts w:cstheme="minorHAnsi"/>
                <w:lang w:val="en-GB"/>
              </w:rPr>
              <w:t xml:space="preserve">, De Gruyter </w:t>
            </w:r>
            <w:proofErr w:type="spellStart"/>
            <w:r w:rsidRPr="00B37D45">
              <w:rPr>
                <w:rFonts w:cstheme="minorHAnsi"/>
                <w:lang w:val="en-GB"/>
              </w:rPr>
              <w:t>Oldenbourg</w:t>
            </w:r>
            <w:proofErr w:type="spellEnd"/>
            <w:r w:rsidRPr="00B37D45">
              <w:rPr>
                <w:rFonts w:cstheme="minorHAnsi"/>
                <w:lang w:val="en-GB"/>
              </w:rPr>
              <w:t>, 2015</w:t>
            </w:r>
          </w:p>
          <w:p w14:paraId="730FCA96" w14:textId="77777777" w:rsidR="00E90480" w:rsidRPr="00B37D45" w:rsidRDefault="00E90480" w:rsidP="0025732F">
            <w:pPr>
              <w:rPr>
                <w:rFonts w:cstheme="minorHAnsi"/>
                <w:lang w:val="en-GB"/>
              </w:rPr>
            </w:pPr>
            <w:r w:rsidRPr="00B37D45">
              <w:rPr>
                <w:rFonts w:cstheme="minorHAnsi"/>
                <w:lang w:val="en-GB"/>
              </w:rPr>
              <w:t>Shumway, R. H. / Stoffer, D. S.: Time Series Analysis and Its Applications, Springer Science and Business Media, 2006</w:t>
            </w:r>
          </w:p>
          <w:p w14:paraId="3FDBCDB6" w14:textId="77777777" w:rsidR="00E90480" w:rsidRPr="00B37D45" w:rsidRDefault="00E90480" w:rsidP="0025732F">
            <w:pPr>
              <w:rPr>
                <w:rFonts w:cstheme="minorHAnsi"/>
                <w:lang w:val="en-GB"/>
              </w:rPr>
            </w:pPr>
            <w:r w:rsidRPr="00B37D45">
              <w:rPr>
                <w:rFonts w:cstheme="minorHAnsi"/>
                <w:lang w:val="en-GB"/>
              </w:rPr>
              <w:t>Wickham, Hadley: Advanced R, Chapman and Hall, 2017</w:t>
            </w:r>
          </w:p>
          <w:p w14:paraId="6E6F8446" w14:textId="77777777" w:rsidR="00E90480" w:rsidRPr="00B37D45" w:rsidRDefault="00E90480" w:rsidP="0025732F">
            <w:pPr>
              <w:rPr>
                <w:rFonts w:cstheme="minorHAnsi"/>
              </w:rPr>
            </w:pPr>
            <w:r w:rsidRPr="00B37D45">
              <w:rPr>
                <w:rFonts w:cstheme="minorHAnsi"/>
              </w:rPr>
              <w:t>Wickham, Hadley: ggplot2, Springer, 2009</w:t>
            </w:r>
          </w:p>
          <w:p w14:paraId="4732645F" w14:textId="77777777" w:rsidR="00E90480" w:rsidRPr="00B37D45" w:rsidRDefault="00E90480" w:rsidP="0025732F">
            <w:pPr>
              <w:rPr>
                <w:rFonts w:cstheme="minorHAnsi"/>
              </w:rPr>
            </w:pPr>
            <w:r w:rsidRPr="00B37D45">
              <w:rPr>
                <w:rFonts w:cstheme="minorHAnsi"/>
              </w:rPr>
              <w:t>Wollschläger, D.: Grundlagen der Datenanalyse mit R, 3. Auflage, Springer Spektrum, 2014</w:t>
            </w:r>
          </w:p>
          <w:p w14:paraId="73415C69" w14:textId="77777777" w:rsidR="00E90480" w:rsidRPr="00272400" w:rsidRDefault="00E90480" w:rsidP="0025732F">
            <w:pPr>
              <w:rPr>
                <w:rFonts w:ascii="Lucida Sans" w:hAnsi="Lucida Sans" w:cs="Arial"/>
                <w:bCs/>
                <w:kern w:val="16"/>
                <w:sz w:val="20"/>
                <w:szCs w:val="20"/>
              </w:rPr>
            </w:pPr>
          </w:p>
        </w:tc>
      </w:tr>
    </w:tbl>
    <w:p w14:paraId="1F1B3CA7" w14:textId="77777777" w:rsidR="00E90480" w:rsidRDefault="00E90480"/>
    <w:sectPr w:rsidR="00E904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80"/>
    <w:rsid w:val="00807771"/>
    <w:rsid w:val="00D20A85"/>
    <w:rsid w:val="00E90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3D28C0"/>
  <w15:chartTrackingRefBased/>
  <w15:docId w15:val="{FC7A37DE-5867-324B-8394-530C9ACE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0480"/>
    <w:pPr>
      <w:spacing w:line="259" w:lineRule="auto"/>
    </w:pPr>
    <w:rPr>
      <w:kern w:val="0"/>
      <w:sz w:val="22"/>
      <w:szCs w:val="22"/>
      <w14:ligatures w14:val="none"/>
    </w:rPr>
  </w:style>
  <w:style w:type="paragraph" w:styleId="berschrift1">
    <w:name w:val="heading 1"/>
    <w:basedOn w:val="Standard"/>
    <w:next w:val="Standard"/>
    <w:link w:val="berschrift1Zchn"/>
    <w:uiPriority w:val="99"/>
    <w:qFormat/>
    <w:rsid w:val="00E90480"/>
    <w:pPr>
      <w:keepNext/>
      <w:keepLines/>
      <w:spacing w:before="360" w:after="80" w:line="278" w:lineRule="auto"/>
      <w:outlineLvl w:val="0"/>
    </w:pPr>
    <w:rPr>
      <w:rFonts w:eastAsiaTheme="majorEastAsia" w:cstheme="majorBidi"/>
      <w:color w:val="000000" w:themeColor="text1"/>
      <w:kern w:val="2"/>
      <w:sz w:val="24"/>
      <w:szCs w:val="40"/>
      <w14:ligatures w14:val="standardContextual"/>
    </w:rPr>
  </w:style>
  <w:style w:type="paragraph" w:styleId="berschrift2">
    <w:name w:val="heading 2"/>
    <w:basedOn w:val="Standard"/>
    <w:next w:val="Standard"/>
    <w:link w:val="berschrift2Zchn"/>
    <w:uiPriority w:val="9"/>
    <w:semiHidden/>
    <w:unhideWhenUsed/>
    <w:qFormat/>
    <w:rsid w:val="00E904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9048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9048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E9048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E904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E904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E904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E904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90480"/>
    <w:rPr>
      <w:rFonts w:eastAsiaTheme="majorEastAsia" w:cstheme="majorBidi"/>
      <w:color w:val="000000" w:themeColor="text1"/>
      <w:szCs w:val="40"/>
    </w:rPr>
  </w:style>
  <w:style w:type="character" w:customStyle="1" w:styleId="berschrift2Zchn">
    <w:name w:val="Überschrift 2 Zchn"/>
    <w:basedOn w:val="Absatz-Standardschriftart"/>
    <w:link w:val="berschrift2"/>
    <w:uiPriority w:val="9"/>
    <w:semiHidden/>
    <w:rsid w:val="00E9048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9048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9048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9048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904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04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04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0480"/>
    <w:rPr>
      <w:rFonts w:eastAsiaTheme="majorEastAsia" w:cstheme="majorBidi"/>
      <w:color w:val="272727" w:themeColor="text1" w:themeTint="D8"/>
    </w:rPr>
  </w:style>
  <w:style w:type="paragraph" w:styleId="Titel">
    <w:name w:val="Title"/>
    <w:basedOn w:val="Standard"/>
    <w:next w:val="Standard"/>
    <w:link w:val="TitelZchn"/>
    <w:uiPriority w:val="10"/>
    <w:qFormat/>
    <w:rsid w:val="00E904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904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04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904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0480"/>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E90480"/>
    <w:rPr>
      <w:i/>
      <w:iCs/>
      <w:color w:val="404040" w:themeColor="text1" w:themeTint="BF"/>
    </w:rPr>
  </w:style>
  <w:style w:type="paragraph" w:styleId="Listenabsatz">
    <w:name w:val="List Paragraph"/>
    <w:basedOn w:val="Standard"/>
    <w:uiPriority w:val="34"/>
    <w:qFormat/>
    <w:rsid w:val="00E90480"/>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E90480"/>
    <w:rPr>
      <w:i/>
      <w:iCs/>
      <w:color w:val="2F5496" w:themeColor="accent1" w:themeShade="BF"/>
    </w:rPr>
  </w:style>
  <w:style w:type="paragraph" w:styleId="IntensivesZitat">
    <w:name w:val="Intense Quote"/>
    <w:basedOn w:val="Standard"/>
    <w:next w:val="Standard"/>
    <w:link w:val="IntensivesZitatZchn"/>
    <w:uiPriority w:val="30"/>
    <w:qFormat/>
    <w:rsid w:val="00E9048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E90480"/>
    <w:rPr>
      <w:i/>
      <w:iCs/>
      <w:color w:val="2F5496" w:themeColor="accent1" w:themeShade="BF"/>
    </w:rPr>
  </w:style>
  <w:style w:type="character" w:styleId="IntensiverVerweis">
    <w:name w:val="Intense Reference"/>
    <w:basedOn w:val="Absatz-Standardschriftart"/>
    <w:uiPriority w:val="32"/>
    <w:qFormat/>
    <w:rsid w:val="00E90480"/>
    <w:rPr>
      <w:b/>
      <w:bCs/>
      <w:smallCaps/>
      <w:color w:val="2F5496" w:themeColor="accent1" w:themeShade="BF"/>
      <w:spacing w:val="5"/>
    </w:rPr>
  </w:style>
  <w:style w:type="table" w:styleId="Tabellenraster">
    <w:name w:val="Table Grid"/>
    <w:basedOn w:val="NormaleTabelle"/>
    <w:uiPriority w:val="39"/>
    <w:rsid w:val="00E904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2A3843103FF4E89FD540AC5FBADFB" ma:contentTypeVersion="10" ma:contentTypeDescription="Ein neues Dokument erstellen." ma:contentTypeScope="" ma:versionID="9648ef5ce1db29d509907b8712b5ca17">
  <xsd:schema xmlns:xsd="http://www.w3.org/2001/XMLSchema" xmlns:xs="http://www.w3.org/2001/XMLSchema" xmlns:p="http://schemas.microsoft.com/office/2006/metadata/properties" xmlns:ns2="3f7a9eab-be70-41ab-b6b6-1895218604e1" targetNamespace="http://schemas.microsoft.com/office/2006/metadata/properties" ma:root="true" ma:fieldsID="3474406e4dbf9bbb4551505981f8b8b3" ns2:_="">
    <xsd:import namespace="3f7a9eab-be70-41ab-b6b6-189521860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a9eab-be70-41ab-b6b6-189521860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0a8c67-d3d3-4480-b813-4225756634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a9eab-be70-41ab-b6b6-189521860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1565E-A8BD-4E81-9405-ECF8B5E0CA23}"/>
</file>

<file path=customXml/itemProps2.xml><?xml version="1.0" encoding="utf-8"?>
<ds:datastoreItem xmlns:ds="http://schemas.openxmlformats.org/officeDocument/2006/customXml" ds:itemID="{E286C9D3-5048-4D4A-AC95-900EEAD3EB7D}"/>
</file>

<file path=customXml/itemProps3.xml><?xml version="1.0" encoding="utf-8"?>
<ds:datastoreItem xmlns:ds="http://schemas.openxmlformats.org/officeDocument/2006/customXml" ds:itemID="{05C9168B-BC26-49DE-A082-202E708C282C}"/>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5230</Characters>
  <Application>Microsoft Office Word</Application>
  <DocSecurity>0</DocSecurity>
  <Lines>43</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Georg</dc:creator>
  <cp:keywords/>
  <dc:description/>
  <cp:lastModifiedBy>Manon Georg</cp:lastModifiedBy>
  <cp:revision>1</cp:revision>
  <dcterms:created xsi:type="dcterms:W3CDTF">2025-01-24T09:26:00Z</dcterms:created>
  <dcterms:modified xsi:type="dcterms:W3CDTF">2025-01-24T09:29:00Z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0x010100C262A3843103FF4E89FD540AC5FBADFB</vt:lpwstr>
  </property>
</Properties>
</file>